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2"/>
        </w:numPr>
        <w:spacing w:after="567" w:before="567" w:lineRule="auto"/>
        <w:rPr>
          <w:rFonts w:ascii="Arial" w:cs="Arial" w:eastAsia="Arial" w:hAnsi="Arial"/>
          <w:b w:val="1"/>
          <w:color w:val="008000"/>
          <w:sz w:val="28"/>
          <w:szCs w:val="28"/>
        </w:rPr>
      </w:pPr>
      <w:r w:rsidDel="00000000" w:rsidR="00000000" w:rsidRPr="00000000">
        <w:rPr>
          <w:rtl w:val="0"/>
        </w:rPr>
        <w:t xml:space="preserve">REQUERIMENTO DE VALIDAÇÃO DE UNIDADES CURRICULARES</w:t>
        <w:br w:type="textWrapping"/>
        <w:t xml:space="preserve">RECONHECIMENTO DE ESTUDOS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Eu, aluno(a) regularmente matriculado(a) no Curso de Engenharia de Telecomunicações do Instituto Federal de Santa Catarina, Campus São José, solicito a validação do componente curricular abaixo: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680"/>
        <w:tblGridChange w:id="0">
          <w:tblGrid>
            <w:gridCol w:w="1920"/>
            <w:gridCol w:w="7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Aluno(a):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Fone (opcional):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70" w:before="113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5"/>
        <w:gridCol w:w="2535"/>
        <w:tblGridChange w:id="0">
          <w:tblGrid>
            <w:gridCol w:w="7065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Nome e código do componente curricular a ser validado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Carga horária (horas):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Nome(s) e código(s) da(s) disciplina(s) do curso de origem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Carga horária (horas):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Documentos anexados:</w:t>
        <w:br w:type="textWrapping"/>
      </w:r>
      <w:r w:rsidDel="00000000" w:rsidR="00000000" w:rsidRPr="00000000">
        <w:rPr>
          <w:rtl w:val="0"/>
        </w:rPr>
        <w:t xml:space="preserve">(   ) Histórico escolar (parcial/final) com as cargas horárias, frequência e rendimentos.</w:t>
        <w:br w:type="textWrapping"/>
        <w:t xml:space="preserve">(   ) Ementas e conteúdos programáticos (ou planos de ensinos) das disciplinas do curso de origem.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Assinatura física (ou digital)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before="120" w:line="276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OBSERVAÇÕES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120" w:line="276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O(A) estudante deverá preencher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um requerimento para cada unidade curricular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(disciplina) que deseja validar, pois será aberto um processo separado para cada UC a ser validada.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O curso de origem deve ser no mínimo um Curso Superior. Curos técnicos não são aceitos.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" w:before="0" w:beforeAutospacing="0" w:line="276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  validação de UCs (disciplinas) somente pode ser solicitada após ter integralizado os pré-requisitos.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" w:afterAutospacing="0" w:before="120" w:line="276" w:lineRule="auto"/>
        <w:ind w:left="720" w:hanging="36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Os códigos, nomes e cargas horárias das disciplinas são encontrados no </w:t>
      </w:r>
      <w:hyperlink r:id="rId6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u w:val="single"/>
            <w:rtl w:val="0"/>
          </w:rPr>
          <w:t xml:space="preserve">site público do SIGAA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" w:before="20" w:beforeAutospacing="0" w:line="276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O formulário junto com a documentação necessária deve ser enviado para a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Secretaria Acadêmica &lt;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u w:val="single"/>
            <w:rtl w:val="0"/>
          </w:rPr>
          <w:t xml:space="preserve">secretaria.sje@ifsc.edu.br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&gt;, com o Assunto: 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Requerimento de Validação de Componente Curricular da Engtelecom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691.7716535433101" w:top="1417.3228346456694" w:left="1134" w:right="1134" w:header="850.3937007874016" w:footer="570.00000000000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São José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José Lino Kretzer, 608  |  Praia Comprida  |  São José, SC  |  CEP: 88130-310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3381-2800  |  www.ifsc.edu.br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8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ig.ifsc.edu.br/sigaa/link/public/curso/curriculo/3514781" TargetMode="External"/><Relationship Id="rId7" Type="http://schemas.openxmlformats.org/officeDocument/2006/relationships/hyperlink" Target="mailto:secretaria.sje@ifsc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